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959F" w14:textId="77777777" w:rsidR="00915250" w:rsidRDefault="00915250" w:rsidP="00915250">
      <w:pPr>
        <w:spacing w:after="0" w:line="280" w:lineRule="exact"/>
        <w:rPr>
          <w:sz w:val="30"/>
          <w:szCs w:val="30"/>
        </w:rPr>
      </w:pPr>
    </w:p>
    <w:p w14:paraId="24FAC815" w14:textId="77777777" w:rsidR="00915250" w:rsidRDefault="00915250" w:rsidP="00AE5135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  <w:r>
        <w:rPr>
          <w:rFonts w:eastAsia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2E4A8F30" wp14:editId="7D640312">
            <wp:extent cx="3040380" cy="1135380"/>
            <wp:effectExtent l="0" t="0" r="7620" b="7620"/>
            <wp:docPr id="2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A6DE" w14:textId="77777777" w:rsidR="00915250" w:rsidRDefault="00915250" w:rsidP="00AE5135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</w:p>
    <w:p w14:paraId="3640794D" w14:textId="77777777" w:rsidR="00915250" w:rsidRDefault="00915250" w:rsidP="00AE5135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</w:p>
    <w:p w14:paraId="627A52F7" w14:textId="77777777" w:rsidR="00915250" w:rsidRDefault="00915250" w:rsidP="00AE5135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Информационные материалы</w:t>
      </w:r>
    </w:p>
    <w:p w14:paraId="09CDBF53" w14:textId="77777777" w:rsidR="00915250" w:rsidRDefault="00915250" w:rsidP="00AE5135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для проведения единого дня информирования в</w:t>
      </w:r>
    </w:p>
    <w:p w14:paraId="353194B7" w14:textId="77777777" w:rsidR="00915250" w:rsidRDefault="00915250" w:rsidP="00AE5135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УО «БЕЛОРУССКАЯ ГОСУДАРСТВЕННАЯ</w:t>
      </w:r>
    </w:p>
    <w:p w14:paraId="4A2307D9" w14:textId="5FBC1ECC" w:rsidR="00915250" w:rsidRDefault="00915250" w:rsidP="00AE5135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АКАДЕМИЯ АВИАЦИИ»</w:t>
      </w:r>
    </w:p>
    <w:p w14:paraId="3CF0E1BB" w14:textId="0A691A4E" w:rsidR="00915250" w:rsidRDefault="00915250" w:rsidP="00AE5135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(</w:t>
      </w:r>
      <w:r>
        <w:rPr>
          <w:rFonts w:eastAsia="Times New Roman"/>
          <w:b/>
          <w:color w:val="002060"/>
          <w:sz w:val="32"/>
          <w:szCs w:val="32"/>
          <w:lang w:eastAsia="ru-RU"/>
        </w:rPr>
        <w:t>июнь</w:t>
      </w:r>
      <w:r>
        <w:rPr>
          <w:rFonts w:eastAsia="Times New Roman"/>
          <w:b/>
          <w:color w:val="002060"/>
          <w:sz w:val="32"/>
          <w:szCs w:val="32"/>
          <w:lang w:eastAsia="ru-RU"/>
        </w:rPr>
        <w:t xml:space="preserve"> 2022 г.)</w:t>
      </w:r>
    </w:p>
    <w:p w14:paraId="00108ADE" w14:textId="77777777" w:rsidR="00915250" w:rsidRDefault="00915250" w:rsidP="00AE5135">
      <w:pPr>
        <w:tabs>
          <w:tab w:val="left" w:pos="9000"/>
        </w:tabs>
        <w:spacing w:after="0" w:line="240" w:lineRule="auto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</w:p>
    <w:p w14:paraId="15AC2883" w14:textId="4EF65326" w:rsidR="00915250" w:rsidRDefault="00915250" w:rsidP="00AE5135">
      <w:pPr>
        <w:spacing w:after="0" w:line="240" w:lineRule="auto"/>
        <w:jc w:val="center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00D6B331" wp14:editId="47A516C6">
            <wp:extent cx="2118360" cy="1554480"/>
            <wp:effectExtent l="0" t="0" r="0" b="762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F679" w14:textId="77777777" w:rsidR="00915250" w:rsidRDefault="00915250" w:rsidP="00AE5135">
      <w:pPr>
        <w:spacing w:after="0" w:line="240" w:lineRule="auto"/>
        <w:jc w:val="center"/>
        <w:rPr>
          <w:rFonts w:eastAsia="Times New Roman"/>
          <w:sz w:val="30"/>
          <w:szCs w:val="30"/>
          <w:lang w:eastAsia="ru-RU"/>
        </w:rPr>
      </w:pPr>
    </w:p>
    <w:p w14:paraId="7510B096" w14:textId="77777777" w:rsidR="00AE5135" w:rsidRDefault="00AE5135" w:rsidP="00AE5135">
      <w:pPr>
        <w:spacing w:after="0" w:line="225" w:lineRule="auto"/>
        <w:jc w:val="center"/>
        <w:rPr>
          <w:rFonts w:eastAsia="Times New Roman"/>
          <w:b/>
          <w:color w:val="990000"/>
          <w:sz w:val="56"/>
          <w:szCs w:val="56"/>
          <w:lang w:eastAsia="ru-RU"/>
        </w:rPr>
      </w:pPr>
    </w:p>
    <w:p w14:paraId="2B80D2F1" w14:textId="776EE9EA" w:rsidR="00915250" w:rsidRPr="00915250" w:rsidRDefault="00AE5135" w:rsidP="00AE5135">
      <w:pPr>
        <w:spacing w:after="0" w:line="225" w:lineRule="auto"/>
        <w:jc w:val="center"/>
        <w:rPr>
          <w:rFonts w:eastAsia="Times New Roman"/>
          <w:b/>
          <w:color w:val="990000"/>
          <w:sz w:val="56"/>
          <w:szCs w:val="56"/>
          <w:lang w:eastAsia="ru-RU"/>
        </w:rPr>
      </w:pPr>
      <w:bookmarkStart w:id="0" w:name="_GoBack"/>
      <w:bookmarkEnd w:id="0"/>
      <w:r>
        <w:rPr>
          <w:rFonts w:eastAsia="Times New Roman"/>
          <w:b/>
          <w:color w:val="990000"/>
          <w:sz w:val="56"/>
          <w:szCs w:val="56"/>
          <w:lang w:eastAsia="ru-RU"/>
        </w:rPr>
        <w:t>«</w:t>
      </w:r>
      <w:r w:rsidR="00915250" w:rsidRPr="00915250">
        <w:rPr>
          <w:rFonts w:eastAsia="Times New Roman"/>
          <w:b/>
          <w:color w:val="990000"/>
          <w:sz w:val="56"/>
          <w:szCs w:val="56"/>
          <w:lang w:eastAsia="ru-RU"/>
        </w:rPr>
        <w:t xml:space="preserve">МОЛОДЕЖЬ – НАСТОЯЩЕЕ И БУДУЩЕЕ НЕЗАВИСИМОЙ БЕЛАРУСИ: КО ДНЮ НЕЗАВИСИМОСТИ </w:t>
      </w:r>
      <w:r w:rsidR="00915250" w:rsidRPr="00915250">
        <w:rPr>
          <w:rFonts w:eastAsia="Times New Roman"/>
          <w:b/>
          <w:color w:val="990000"/>
          <w:sz w:val="56"/>
          <w:szCs w:val="56"/>
          <w:lang w:eastAsia="ru-RU"/>
        </w:rPr>
        <w:br/>
        <w:t>РЕСПУБЛИКИ БЕЛАРУСЬ</w:t>
      </w:r>
      <w:r>
        <w:rPr>
          <w:rFonts w:eastAsia="Times New Roman"/>
          <w:b/>
          <w:color w:val="990000"/>
          <w:sz w:val="56"/>
          <w:szCs w:val="56"/>
          <w:lang w:eastAsia="ru-RU"/>
        </w:rPr>
        <w:t>»</w:t>
      </w:r>
    </w:p>
    <w:p w14:paraId="5E9AEC39" w14:textId="77777777" w:rsidR="00915250" w:rsidRPr="00915250" w:rsidRDefault="00915250" w:rsidP="00AE5135">
      <w:pPr>
        <w:spacing w:after="0" w:line="225" w:lineRule="auto"/>
        <w:jc w:val="center"/>
        <w:rPr>
          <w:rFonts w:eastAsia="Calibri"/>
          <w:i/>
          <w:sz w:val="30"/>
          <w:szCs w:val="30"/>
        </w:rPr>
      </w:pPr>
    </w:p>
    <w:p w14:paraId="786533A6" w14:textId="77777777" w:rsidR="00915250" w:rsidRDefault="00915250" w:rsidP="00915250">
      <w:pPr>
        <w:spacing w:after="0" w:line="240" w:lineRule="auto"/>
        <w:jc w:val="center"/>
        <w:rPr>
          <w:b/>
          <w:sz w:val="30"/>
          <w:szCs w:val="30"/>
          <w:lang w:val="be-BY"/>
        </w:rPr>
      </w:pPr>
    </w:p>
    <w:p w14:paraId="5D7B6B8D" w14:textId="77777777" w:rsidR="00915250" w:rsidRDefault="00915250" w:rsidP="00915250">
      <w:pPr>
        <w:spacing w:after="0" w:line="280" w:lineRule="exact"/>
        <w:rPr>
          <w:sz w:val="30"/>
          <w:szCs w:val="30"/>
        </w:rPr>
      </w:pP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lastRenderedPageBreak/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lastRenderedPageBreak/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</w:t>
      </w:r>
      <w:r w:rsidR="00576A83" w:rsidRPr="0061456F">
        <w:rPr>
          <w:spacing w:val="-6"/>
          <w:sz w:val="30"/>
          <w:szCs w:val="30"/>
        </w:rPr>
        <w:lastRenderedPageBreak/>
        <w:t>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lastRenderedPageBreak/>
        <w:t xml:space="preserve">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lastRenderedPageBreak/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10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>. Уже по состоянию на начало 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</w:t>
      </w:r>
      <w:r w:rsidRPr="009A0F9D">
        <w:rPr>
          <w:sz w:val="30"/>
          <w:szCs w:val="30"/>
        </w:rPr>
        <w:lastRenderedPageBreak/>
        <w:t xml:space="preserve">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lastRenderedPageBreak/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proofErr w:type="spellStart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</w:t>
      </w:r>
      <w:proofErr w:type="spellEnd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proofErr w:type="spellStart"/>
      <w:r w:rsidR="008742BD" w:rsidRPr="000770D4">
        <w:rPr>
          <w:b/>
          <w:i/>
          <w:szCs w:val="28"/>
        </w:rPr>
        <w:t>А.Базаровым</w:t>
      </w:r>
      <w:proofErr w:type="spellEnd"/>
      <w:r w:rsidR="008742BD" w:rsidRPr="000770D4">
        <w:rPr>
          <w:i/>
          <w:szCs w:val="28"/>
        </w:rPr>
        <w:t xml:space="preserve"> из </w:t>
      </w:r>
      <w:proofErr w:type="spellStart"/>
      <w:r w:rsidR="008742BD" w:rsidRPr="000770D4">
        <w:rPr>
          <w:i/>
          <w:szCs w:val="28"/>
        </w:rPr>
        <w:t>г.Гомель</w:t>
      </w:r>
      <w:proofErr w:type="spellEnd"/>
      <w:r w:rsidR="008742BD" w:rsidRPr="000770D4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</w:t>
      </w:r>
      <w:proofErr w:type="spellStart"/>
      <w:r w:rsidR="008742BD" w:rsidRPr="00B10504">
        <w:rPr>
          <w:b/>
          <w:i/>
          <w:spacing w:val="-8"/>
          <w:szCs w:val="28"/>
        </w:rPr>
        <w:t>А.Глуткиным</w:t>
      </w:r>
      <w:proofErr w:type="spellEnd"/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proofErr w:type="spellStart"/>
      <w:r w:rsidR="008742BD" w:rsidRPr="000770D4">
        <w:rPr>
          <w:b/>
          <w:i/>
          <w:szCs w:val="28"/>
        </w:rPr>
        <w:t>М.Масюченко</w:t>
      </w:r>
      <w:proofErr w:type="spellEnd"/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</w:t>
      </w:r>
      <w:r w:rsidR="006306C1" w:rsidRPr="00F65CB5">
        <w:rPr>
          <w:spacing w:val="-4"/>
          <w:sz w:val="30"/>
          <w:szCs w:val="30"/>
        </w:rPr>
        <w:lastRenderedPageBreak/>
        <w:t xml:space="preserve">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>Организаторами (Академией управления при Президенте Республики Беларусь и Мингорисполкомом)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</w:t>
      </w:r>
      <w:r w:rsidRPr="00052513">
        <w:rPr>
          <w:i/>
          <w:sz w:val="30"/>
          <w:szCs w:val="30"/>
        </w:rPr>
        <w:lastRenderedPageBreak/>
        <w:t xml:space="preserve">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878B" w14:textId="77777777" w:rsidR="00346C18" w:rsidRDefault="00346C18" w:rsidP="003F3942">
      <w:pPr>
        <w:spacing w:after="0" w:line="240" w:lineRule="auto"/>
      </w:pPr>
      <w:r>
        <w:separator/>
      </w:r>
    </w:p>
  </w:endnote>
  <w:endnote w:type="continuationSeparator" w:id="0">
    <w:p w14:paraId="6E58CAA6" w14:textId="77777777" w:rsidR="00346C18" w:rsidRDefault="00346C18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1391" w14:textId="77777777" w:rsidR="00346C18" w:rsidRDefault="00346C18" w:rsidP="003F3942">
      <w:pPr>
        <w:spacing w:after="0" w:line="240" w:lineRule="auto"/>
      </w:pPr>
      <w:r>
        <w:separator/>
      </w:r>
    </w:p>
  </w:footnote>
  <w:footnote w:type="continuationSeparator" w:id="0">
    <w:p w14:paraId="69226FF0" w14:textId="77777777" w:rsidR="00346C18" w:rsidRDefault="00346C18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D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5250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3519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97C86"/>
    <w:rsid w:val="00AA131C"/>
    <w:rsid w:val="00AA1EA4"/>
    <w:rsid w:val="00AA5A24"/>
    <w:rsid w:val="00AB4CAF"/>
    <w:rsid w:val="00AD16BB"/>
    <w:rsid w:val="00AE08A8"/>
    <w:rsid w:val="00AE26FF"/>
    <w:rsid w:val="00AE2D55"/>
    <w:rsid w:val="00AE513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trud.gov.by/ru/trud-molodezh-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F69C-3EA7-4469-9347-788CB07D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Марина В. Рагило</cp:lastModifiedBy>
  <cp:revision>3</cp:revision>
  <cp:lastPrinted>2022-06-11T07:50:00Z</cp:lastPrinted>
  <dcterms:created xsi:type="dcterms:W3CDTF">2022-06-14T06:47:00Z</dcterms:created>
  <dcterms:modified xsi:type="dcterms:W3CDTF">2022-06-15T14:15:00Z</dcterms:modified>
</cp:coreProperties>
</file>