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социально-гуманитарных дисциплин БГАА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филологических наук, доцент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Н. Сивицкий</w:t>
      </w:r>
    </w:p>
    <w:p w:rsidR="000B4CAA" w:rsidRPr="000B4CAA" w:rsidRDefault="000B4CAA" w:rsidP="00B65D0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       ”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4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20       г.</w:t>
      </w:r>
    </w:p>
    <w:p w:rsidR="000B4CAA" w:rsidRPr="000B4CAA" w:rsidRDefault="000B4CAA" w:rsidP="00B65D0A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написанию контрольной работы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дисциплине 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A2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Инновационный менеджмент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4CAA" w:rsidRPr="000B4CAA" w:rsidRDefault="000B4CAA" w:rsidP="007B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курсантов-заочников, обучающихся по специальност</w:t>
      </w:r>
      <w:r w:rsidR="007B52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26DA" w:rsidRDefault="007B529C" w:rsidP="007B529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B529C">
        <w:rPr>
          <w:rFonts w:ascii="Times New Roman" w:hAnsi="Times New Roman" w:cs="Times New Roman"/>
          <w:iCs/>
          <w:sz w:val="28"/>
          <w:szCs w:val="28"/>
        </w:rPr>
        <w:t xml:space="preserve">6-05-0715-01 </w:t>
      </w:r>
      <w:r w:rsidRPr="007B529C">
        <w:rPr>
          <w:rFonts w:ascii="Times New Roman" w:hAnsi="Times New Roman" w:cs="Times New Roman"/>
          <w:bCs/>
          <w:sz w:val="28"/>
          <w:szCs w:val="28"/>
        </w:rPr>
        <w:t>«</w:t>
      </w:r>
      <w:r w:rsidRPr="007B529C">
        <w:rPr>
          <w:rFonts w:ascii="Times New Roman" w:hAnsi="Times New Roman" w:cs="Times New Roman"/>
          <w:bCs/>
          <w:iCs/>
          <w:sz w:val="28"/>
          <w:szCs w:val="28"/>
        </w:rPr>
        <w:t xml:space="preserve">Техническая эксплуатация воздушных судов и средств наземного обеспечения полетов» </w:t>
      </w:r>
    </w:p>
    <w:p w:rsidR="00783192" w:rsidRDefault="007B529C" w:rsidP="007B529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B529C">
        <w:rPr>
          <w:rFonts w:ascii="Times New Roman" w:hAnsi="Times New Roman" w:cs="Times New Roman"/>
          <w:bCs/>
          <w:iCs/>
          <w:sz w:val="28"/>
          <w:szCs w:val="28"/>
        </w:rPr>
        <w:t>профилизации</w:t>
      </w:r>
      <w:proofErr w:type="spellEnd"/>
      <w:r w:rsidRPr="007B529C">
        <w:rPr>
          <w:rFonts w:ascii="Times New Roman" w:hAnsi="Times New Roman" w:cs="Times New Roman"/>
          <w:bCs/>
          <w:iCs/>
          <w:sz w:val="28"/>
          <w:szCs w:val="28"/>
        </w:rPr>
        <w:t xml:space="preserve">: «Техническая эксплуатация воздушных судов и двигателей», «Техническая эксплуатация бортовых авиационных систем», </w:t>
      </w:r>
    </w:p>
    <w:p w:rsidR="007B529C" w:rsidRPr="007B529C" w:rsidRDefault="007B529C" w:rsidP="007B5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29C">
        <w:rPr>
          <w:rFonts w:ascii="Times New Roman" w:hAnsi="Times New Roman" w:cs="Times New Roman"/>
          <w:bCs/>
          <w:iCs/>
          <w:sz w:val="28"/>
          <w:szCs w:val="28"/>
        </w:rPr>
        <w:t>«Техническая эксплуатация средств радиотехнического обеспечения полетов»</w:t>
      </w:r>
    </w:p>
    <w:p w:rsidR="000B4CAA" w:rsidRPr="000B4CAA" w:rsidRDefault="000B4CAA" w:rsidP="00B6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0B4CAA" w:rsidRDefault="000B4CAA" w:rsidP="00343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по учебной дисциплине </w:t>
      </w:r>
      <w:r w:rsidR="00343446"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менеджмент</w:t>
      </w:r>
      <w:r w:rsid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завершающей формой </w:t>
      </w:r>
      <w:r w:rsidR="00674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усвоения знаний, умений и навыков, полученных в ходе изучения дисциплины. Успешное выполнение контрольной работы позволяет обучающемуся приступить к сдаче </w:t>
      </w:r>
      <w:r w:rsidR="00674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предусмотрена учебной программой по учебной дисциплине и направлена на выявление теоретических знаний и </w:t>
      </w:r>
      <w:r w:rsidR="00B65D0A"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умений,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обучающихся. Она является формой контроля качества подготовки специалиста с высшим образованием в академии.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является свидетельством того, как обучающийся усвоил материал и какова степень самостоятельности и индивидуальных возможностей обучающегося.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обучающимися после проведения лекций и семинарских занятий в период сессии.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цели контрольной работы: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Выявить результаты изучения курсантами-заочниками учебной дисциплины «</w:t>
      </w:r>
      <w:r w:rsidR="00FA2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менеджмент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Закрепить и углубить знания, умения и навыки курсантов по учебной дисциплине, полученные в ходе аудиторного изучения вопросов учебной программы, а также в процессе самостоятельной работы обучающихся.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Способствовать развитию умений и навыков обобщения, систематизации и структурно-логического, аргументированного и грамотного изложения учебного материала.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Развивать у курсантов способность к творческому самостоятельному анализу учебной литературы и источников.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Формировать и закреплять навыки практического применения обучающимися знаний, умений и навыков.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Содействовать воспитанию чувства ответственности.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проведению контрольной работы: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контрольной работы – письменная, по вопросам.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на отдельных листах бумаги либо в ученической тетради и подписывается обучающимся.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определяется в каждом конкретном случае, но она должна включать введение, основную часть, заключение и список использованных источников.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введении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обосновывается актуальность темы, определяются цель и задачи работы.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 в развёрнутой форме раскрывает тему. Она может быть представлена несколькими параграфами, содержать теорию вопроса.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Заключительная часть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обобщениям, к которым подводит курсанта проделанная работа.</w:t>
      </w:r>
      <w:bookmarkStart w:id="0" w:name="3.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использованных источников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перечень всех, проработанных в процессе подготовки к написанию работы, источников. В тексте работы должны быть ссылки на источники информации.</w:t>
      </w:r>
    </w:p>
    <w:bookmarkEnd w:id="0"/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обучающихся оцениваются преподавателем </w:t>
      </w:r>
      <w:proofErr w:type="spellStart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недифференцированно</w:t>
      </w:r>
      <w:proofErr w:type="spellEnd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выставляется отметка «зачтено» либо «не зачтено».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«не зачтено» ставится за работу, не отвечающую основным требованиям, т. е. не раскрывающую важнейших положений учебного вопроса (задания), не содержащую иллюстративного материала.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по контрольной работе выставляется преподавателем в </w:t>
      </w:r>
      <w:proofErr w:type="spellStart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зачётно</w:t>
      </w:r>
      <w:proofErr w:type="spellEnd"/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-экзаменационной ведомости, которую выдаёт деканат.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контрольной работы: самостоятельно, без пользования конспектами и учебной литературой.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заданий контрольной работы – произвольный.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Курсанты, пользующиеся на контрольной работе неразрешёнными материалами и различного рода записями и этим нарушающие установленные правила проведения контрольной работы, несут за это ответственность в дисциплинарном порядке. По решению преподавателя они опрашиваются устно.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Порядок </w:t>
      </w:r>
      <w:proofErr w:type="spellStart"/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пров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едения</w:t>
      </w:r>
      <w:proofErr w:type="spellEnd"/>
      <w:r w:rsidRPr="000B4CA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контрольной работы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B4CAA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Во вступительной части занятия</w:t>
      </w:r>
      <w:r w:rsidRPr="000B4CAA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после проверки наличия и внешнего вида личного состава преподаватель доводит до курсантов актуальность проведения контрольной работы, определяет место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контрольной работы</w:t>
      </w:r>
      <w:r w:rsidRPr="000B4C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учебном курсе, сообщает план и порядок проведения работы, критерии выставления о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x-none"/>
        </w:rPr>
        <w:t>тметки</w:t>
      </w:r>
      <w:r w:rsidRPr="000B4CA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разъясняет правила оформления письменной работы.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основной части занятия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определяет курсантам вопросы контрольной работы. Курсанты, ознакомившись с содержанием заданий, в случае отсутствия вопросов, приступают к их выполнению. Преподаватель осуществляет контроль за ходом выполнения заданий. В случае возникновения вопросов у курсантов (при необходимости уточнить задание) преподаватель даёт ответ.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заключительной части занятия</w:t>
      </w: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должен подвести итоги занятия, провести разбор занятия, поставить задачи курсантам по дальнейшему углублению знаний по учебной дисциплине.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DA" w:rsidRDefault="00E726D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указания обучающимся.</w:t>
      </w:r>
    </w:p>
    <w:p w:rsidR="000B4CAA" w:rsidRPr="000B4CAA" w:rsidRDefault="000B4CAA" w:rsidP="00B65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контрольной работе курсантам следует изучить учебную литературу, рекомендованную преподавателем, повторить лекционный материал, а также повторить вопросы, которые разбирались на семинарах.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поставленные вопросы контрольной работы следует отвечать вдумчиво, аргументированно, кратко, по существу, чётко структурируя свой ответ.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контрольной работы</w:t>
      </w: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контрольной работы в обязательном порядке указываются: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 учебной группы;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–фамилия и инициалы курсанта;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–номера и формулировки вопросов контрольной работы.</w:t>
      </w: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контрольной работе: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Менеджмент как наука и практика управления.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Управление на различных стадиях технологического уклада.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Основные школы управления: школа научного управления и административная школа.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Основные школы управления: школа человеческих отношений и поведенческих наук.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Системный и ситуационный подходы в управлении.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Многофакторные теории управления.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Особенности американского менеджмента.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Отличительные черты японского менеджмента.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Западноевропейский менеджмент (на примере конкретной страны).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Инновационный менеджмент: цели, задачи, основный функции и принципы. 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История становления теории инновации. 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Теория длинных волн Кондратьева Н.Д.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Теория экономического развития Шумпетера Й.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Концепция кластеров.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Концепция технологической пропасти.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Понятие, виды и функции инноваций. 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Классификация инноваций и их источники. 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Продуктовые, процессные и социальные инновации: сущность и отличительные черты.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поддерживающих инноваций.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подрывных инноваций.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оценки уровня радикальности инноваций.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Сущность и содержание понятий «инновации», «инновационный процесс», «инновационная деятельность».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Общая характеристика понятия «развитие».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эволюционного и революционного развития.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Экзогенная и эндогенная форма развития.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Экстенсивный и интенсивный пути развития.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положения моделей устойчивого и инновационного развития. 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Мировые прогнозы инновационно-технического развития на примере отрасли.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Глобальный инновационный рейтинг и методика его расчета.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Страны-лидеры в инновационном процессе.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Понятие  и  структура  инновационного  процесса.  Жизненный  цикл инновации. 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Характеристика основных стадий инновационного процесса.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Линейные модели инновационного процесса.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Нелинейные модели инновационного процесса.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жизненного цикла спроса.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Инновационная деятельность: понятие, субъекты и объект, основные виды.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Сущность инновационной инфраструктуры.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Бизнес-инкубатор как форма инновационной деятельности.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Роль парков и технополисов в создании инноваций. 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отличительные черты </w:t>
      </w:r>
      <w:proofErr w:type="spellStart"/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технопарковых</w:t>
      </w:r>
      <w:proofErr w:type="spellEnd"/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Формы инновационной деятельности в Республике Беларусь.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Инновационные цели предприятия. Правила построения «дерева целей».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Уровни декомпозиции инновационной цели создания нового продукта</w:t>
      </w:r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Уровни декомпозиции инновационной цели перехода на новую технологию</w:t>
      </w:r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Инновационный  климат  и  инновационный  потенциал  организации: процедура оценки. 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внутренней среды организации.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Диагностический анализ инновационной среды организации по методу SWOT–анализа.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Диагностический анализ инновационной среды организации по методу STEP–анализа.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Понятие и сущность инновационного проекта.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Типология инновационных проектов.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Порядок разработки инновационного проекта.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Бизнес-план инновационного проекта.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Простые методы оценки экономической эффективности инновационных проектов.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Дисконтированные критерии оценки экономической эффективности инновационных проектов.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Сущность и содержание методов управления инновациями.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Методы прогнозирования инноваций.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Эвристические методы поиска идей инновации.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Маркетинговый прием управления.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Инжиниринг и реинжиниринг инноваций.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Бенчмаркинг.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Брэнд–стратегия инновации.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Ценовой прием управления инновациями.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Фронтирование рынка.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Мэрджер.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Методы управления сопротивлением инновациям.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подбора эффективного метода управления сопротивлением инновациям.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Содержание, направления и методы реализации инновационной политики в Республике Беларусь. 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Органы государственного управления, осуществляющие управление инновационной деятельностью в Республике Беларусь, и их функции.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Правовое регулирование инновационной деятельности в Республике Беларусь.</w:t>
      </w:r>
    </w:p>
    <w:p w:rsidR="004E6EF1" w:rsidRPr="004E6EF1" w:rsidRDefault="004E6EF1" w:rsidP="004E6EF1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Финансирование и информационное обеспечение инновационной деятельности в </w:t>
      </w:r>
      <w:r w:rsidRPr="004E6EF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Республике Беларусь.</w:t>
      </w:r>
    </w:p>
    <w:p w:rsidR="000B4CAA" w:rsidRPr="004E6EF1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bookmarkStart w:id="1" w:name="_GoBack"/>
      <w:bookmarkEnd w:id="1"/>
    </w:p>
    <w:p w:rsidR="000B4CAA" w:rsidRPr="000B4CAA" w:rsidRDefault="000B4CAA" w:rsidP="00B6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литература:</w:t>
      </w:r>
    </w:p>
    <w:p w:rsidR="00343446" w:rsidRPr="00343446" w:rsidRDefault="002D3C74" w:rsidP="0034344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43446"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="00343446" w:rsidRPr="003434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343446" w:rsidRPr="00343446" w:rsidRDefault="00343446" w:rsidP="00343446">
      <w:pPr>
        <w:numPr>
          <w:ilvl w:val="0"/>
          <w:numId w:val="5"/>
        </w:num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Артеменко, А. М. </w:t>
      </w:r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Инновационный менеджмент. Курс лекций: учебно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методическое пособие / А. М. Артеменко. – Горки : БГСХА,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2018. – 124 с.</w:t>
      </w:r>
    </w:p>
    <w:p w:rsidR="00343446" w:rsidRPr="00343446" w:rsidRDefault="00343446" w:rsidP="00343446">
      <w:pPr>
        <w:numPr>
          <w:ilvl w:val="0"/>
          <w:numId w:val="5"/>
        </w:num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Володина, О. А. </w:t>
      </w:r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Инновационный менеджмент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учеб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особие / О.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 Володина, Е.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Ю. Фаддеева, А.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 Неретин. – М.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МАДИ, 2019. – 96 с.</w:t>
      </w:r>
    </w:p>
    <w:p w:rsidR="00343446" w:rsidRPr="00343446" w:rsidRDefault="00343446" w:rsidP="00343446">
      <w:pPr>
        <w:numPr>
          <w:ilvl w:val="0"/>
          <w:numId w:val="5"/>
        </w:num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Гурина, Е. В. </w:t>
      </w:r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Инновационный менеджмент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пособие для студентов направления специальности 1-27 01 01-08 «Экономика и организация производства (приборостроение)» / Е. В. Гурина, А. И. Гурко, Т. И. Серченя. – Минск : БНТУ, 2023. – 94 с.</w:t>
      </w:r>
    </w:p>
    <w:p w:rsidR="00343446" w:rsidRPr="00343446" w:rsidRDefault="00343446" w:rsidP="00343446">
      <w:pPr>
        <w:numPr>
          <w:ilvl w:val="0"/>
          <w:numId w:val="5"/>
        </w:num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Немогай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Конкурентоспособность предприятия: учебник / Н. В.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Немогай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 РИВШ, 2021. – 528 с.</w:t>
      </w:r>
    </w:p>
    <w:p w:rsidR="00343446" w:rsidRPr="00343446" w:rsidRDefault="00343446" w:rsidP="00343446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446" w:rsidRPr="00343446" w:rsidRDefault="002D3C74" w:rsidP="00343446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43446"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  <w:r w:rsidR="00343446" w:rsidRPr="0034344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Алексеев, А. А. Инновационный менеджмент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и практикум для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магистратуры / А. А. Алексеев. — М.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247 с.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Бабкина, Е. В. Инновационный менеджмент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Е. В. Бабкина, П. Б.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Пазушкин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Ульяновск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УлГТУ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223 с.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Вишняков, А. А. «Инновационный менеджмент» для студентов по направлению подготовки 080200.62 «Менеджмент», профиль «Менеджмент организации»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А. А. Вишняков. – Сыктывкар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СыктГУ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– 243 с.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Латушко, М. И. Инновационный менеджмент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 М. И. Латушко, Е. И. Михайловский, А. В. Королев. – Минск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БГАТУ, 2013. – 248 с.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Марахина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В. Инновационный менеджмент : учеб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/ И. В.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Марахина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БГУИР, 2016. – 88 с.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Медынский, В. Г. Инновационный менеджмент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В. Г. Медынский. – М.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2014. – 295 с.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Степанова, И. П. Инновационный менеджмент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лекций для студентов, обучающихся по направлению подготовки 080200.62 «Менеджмент» (профиль «Менеджмент организации») / И. П. Степанова / Саратовский социально-экономический институт (филиал) ФГБОУ ВПО «РЭУ им. Г.В. Плеханова». – Саратов, 2014. – 124 с.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Тактарова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В. Управление инновациями : учеб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С. В.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Тактарова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С. Солдатова. – Пенза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ПГУ, 2017. – 308 с.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Фатхутдинов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Р. А. Инновационный менеджмент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             Р. А.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Фатхутдинов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Стандарт третьего поколения. Изд. 6-е. – СПб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2014. – 448 с.</w:t>
      </w:r>
    </w:p>
    <w:p w:rsidR="00343446" w:rsidRPr="00343446" w:rsidRDefault="00343446" w:rsidP="0034344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43446" w:rsidRPr="00343446" w:rsidRDefault="006A6C83" w:rsidP="006A6C83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</w:t>
      </w:r>
      <w:r w:rsidR="00343446" w:rsidRPr="0034344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Законодательные акты: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создания субъектов инновационной инфраструктуры [Электронный ресурс]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Указ Президента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Беларусь, 3 янв. 2007 г., № 1 : в ред. Указов Президента</w:t>
        </w:r>
        <w:proofErr w:type="gram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есп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Беларусь от 09.04.2009 г., № 184, от 11.06.2009 г., № 305, от 31.08.2009 г., № 432, от 23.10.2009 г., № 518, от 17.05.2010 г., № 252, от 21.01.2011 г., № 29, от 25.07.2011 г., № 326, от </w:t>
        </w:r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30.09.2011 г., № 439, от 11.07.2012 г., № 312, от 12.03.2018 г., № 105, от 01.08.2022 г., № 265 // ЭТАЛОН</w:t>
        </w:r>
      </w:hyperlink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Законодательство Республики Беларусь / 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2023.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инновационной политике и инновационной деятельности в Республике Беларусь [Электронный ресурс]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Беларусь от 10 июля 2012 г.</w:t>
        </w:r>
      </w:hyperlink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425-З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ред. Законов от 11 мая 2016 г. № 364-З, от 6 янв. 2022 г. №152-З //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 / ООО «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ЮрСпектр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». – М., 2023.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мерах по стимулированию научной, научно-технической и инновационной деятельности [Электронный ресурс]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"http://gknt.gov.by/opencms/opencms/ru/Documents/Zakonadatelstvo_documents/U-20090907-441.rtf" \t "_blank"</w:instrTex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Беларусь, 7 сент. 2009 г., № 441 : в ред. Указов Президента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 от 25.11.2010 г., № 607,</w:t>
      </w:r>
      <w:r w:rsidRPr="003434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26.05.2011 г., № 216,</w:t>
      </w:r>
      <w:r w:rsidRPr="003434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05.12.2014 г., № 568,</w:t>
      </w:r>
      <w:r w:rsidRPr="00343446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28.12.2017 г., № 467 // ЭТАЛОН. Законодательство Республики Беларусь / 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2023.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мерах по стимулированию инновационной деятельности в Республике Беларусь [Электронный ресурс]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Указ Президента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Беларусь,      9 марта 2009 г., № 123 : в ред. </w:t>
        </w:r>
      </w:hyperlink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Указов Президента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17.05.2010 г., № 252, от 26.05.2011 г., № 216, от 25.07.2011 г., № 326, от 30.09.2011 г., № 439, от 21.02.2014 г., № 92, от 25.10.2022 г., № 381 // ЭТАЛОН. Законодательство Республики Беларусь / 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2023.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мерах по стимулированию реализации инновационных проектов [Электронный ресурс]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Указ Президента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Беларусь, 20 мая 2013 г., № 229 :  в ред. Указов Президента</w:t>
        </w:r>
        <w:proofErr w:type="gram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есп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Беларусь от 07.05.2020 г., № 156, от 01.08.2022 г.,  № 265 // ЭТАЛОН. Законодательство Республики Беларусь / </w:t>
        </w:r>
        <w:proofErr w:type="gram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Нац. центр</w:t>
        </w:r>
        <w:proofErr w:type="gram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правовой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Беларусь. – Минск, 2023.</w:t>
        </w:r>
      </w:hyperlink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формирования и использования средств инновационных фондов [Электронный ресурс]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"http://gknt.gov.by/opencms/opencms/ru/Documents/Zakonadatelstvo_documents/U-20120807-357.rtf" \t "_blank"</w:instrTex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Беларусь,7 авг. 2012 г., № 357 : в ред. Указов Президента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 от 28.11.2016 г., № 431, от 18.06.2018 г.,  № 240, от 12.04.2019 г., № 145, от 07.05.2020 г., № 156 //</w:t>
      </w:r>
      <w:r w:rsidRPr="00343446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ЭТАЛОН. Законодательство Республики Беларусь / 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2023.</w:t>
      </w:r>
    </w:p>
    <w:p w:rsidR="00343446" w:rsidRPr="00343446" w:rsidRDefault="00343446" w:rsidP="00343446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2D3C74" w:rsidRDefault="002D3C74" w:rsidP="00343446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343446" w:rsidRPr="00343446" w:rsidRDefault="002D3C74" w:rsidP="00343446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ab/>
      </w:r>
      <w:r w:rsidR="00343446" w:rsidRPr="00343446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Постановления Правительства Республики Беларусь: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бизнес-планах инвестиционных проектов [Электронный ресурс]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Совета Министров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Беларусь, 26 мая 2014 г., № 506 : в ред. постановлений Совета Министров</w:t>
        </w:r>
        <w:proofErr w:type="gram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есп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Беларусь от 22.05.2015 г., № 431, от 19.09.2016 г., № 737, от 05.06.2017 г., № 425, от 26.10.2018 г., № 772, от 06.05.2022 г., № 280 // ЭТАЛОН. Законодательство Республики Беларусь / </w:t>
        </w:r>
        <w:proofErr w:type="gram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Нац. центр</w:t>
        </w:r>
        <w:proofErr w:type="gram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правовой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Беларусь. – Минск, 2023. </w:t>
        </w:r>
      </w:hyperlink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комитете по науке и технологиям Республики Беларусь [Электронный ресурс]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"http://gknt.gov.by/opencms/opencms/ru/Documents/Zakonadatelstvo_documents/PSM-20040315-282.rtf" \t "_blank"</w:instrTex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Совета Министров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15 марта 2004 г., № 282 : в ред. постановлений Совмина от 18.01.2005 N 50, от 14.05.2005 г., № 493, от 31.08.2005 г., № 961, от 31.07.2006 г., № 984, от 10.10.2006 г., № 1329, от 07.12.2006 г., № 1632, от 10.04.2007 г., № 459, от 31.05.2007 г., № 729, от 29.10.2007 г., № 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1411, от 07.03.2008 г., № 347, от 10.08.2009 г., № 1053, от 15.10.2009 г., № 1335, от 27.01.2010 г., № 110, от 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12.08.2010 г., № 1196, от 19.08.2010 г., № 1213, от 15.09.2010 г., № 1326, от 29.11.2011 г., № 1609, от 24.01.2013 г., № 55, от 07.06.2013 г., № 464, от 18.12.2013 г., № 1104, от 17.01.2014 г., № 33, от 26.05.2014 г., № 507, от 12.08.2014 г., № 781, от 27.08.2014 г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№ 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835, от 30.03.2015 г., № 245, от 01.04.2015 г., № 261, от 22.05.2015 г., № 431, от 19.09.2016 г., № 737, от 25.02.2017 г., № 159, от 21.11.2017 г., № 877, от 11.05.2018 г., № 347, от 05.07.2018 г., № 523, от 19.06.2019 г., № 402, от 31.12.2019 г., № 949, от 04.05.2020 г., № 266, от 01.07.2022 г., № 435, от 21.04.2023 г., № 280// ЭТАЛОН.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 Республики Беларусь / 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2023.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вопросах финансирования научной, научно-технической и инновационной деятельности [Электронный ресурс] : 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"http://gknt.gov.by/opencms/opencms/ru/Documents/Zakonadatelstvo_documents/PSM-20100915-1326.rtf" \t "_blank"</w:instrTex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Совета Министров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Беларусь, 15 сент. 2010 г.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1326 : в ред. постановления Совета Министров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22.02.2013 г., № 121 // ЭТАЛОН. Законодательство Республики Беларусь / 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Нац. центр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2023.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программе «Наукоемкие технологии и техника» на 2021-2025 годы [Электронный ресурс] : </w:t>
      </w:r>
      <w:hyperlink r:id="rId13" w:tgtFrame="_self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Совета Министров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Беларусь, 23 апр. 2021 г., № 245 : в ред. постановлений Совета Министров</w:t>
        </w:r>
        <w:proofErr w:type="gram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есп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Беларусь от 24.01.2022 г., № 39, от 15.04.2022 г., № 230, от 22.12.2022 г., № 907 // ЭТАЛОН. Законодательство Республики Беларусь / </w:t>
        </w:r>
        <w:proofErr w:type="gram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Нац. центр</w:t>
        </w:r>
        <w:proofErr w:type="gram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правовой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Беларусь. – Минск, 2023.  </w:t>
        </w:r>
      </w:hyperlink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Концепции формирования и развития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-промышленных кластеров в Республике Беларусь и мероприятий по ее реализации [Электронный ресурс] : </w:t>
      </w:r>
      <w:hyperlink r:id="rId14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Совета Министров</w:t>
        </w:r>
        <w:proofErr w:type="gram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есп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Беларусь, 16 янв. 2014 г., № 27 // ЭТАЛОН. Законодательство Республики Беларусь / </w:t>
        </w:r>
        <w:proofErr w:type="gram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Нац. центр</w:t>
        </w:r>
        <w:proofErr w:type="gram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правовой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proofErr w:type="spellStart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</w:t>
        </w:r>
        <w:proofErr w:type="spellEnd"/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Беларусь. – Минск, 20</w:t>
        </w:r>
        <w:r w:rsidRPr="0034344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23</w:t>
        </w:r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</w:hyperlink>
    </w:p>
    <w:p w:rsidR="00343446" w:rsidRPr="00343446" w:rsidRDefault="00343446" w:rsidP="0034344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343446" w:rsidRPr="00343446" w:rsidRDefault="00343446" w:rsidP="0034344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Технические нормативные правовые акты: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ьность. Термины и определения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ГОСТ 31279-2004 </w:t>
        </w:r>
      </w:hyperlink>
      <w:hyperlink r:id="rId16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[Электронный ресурс]. Режим доступа:  </w:t>
        </w:r>
      </w:hyperlink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http://gknt.gov.by/opencms/opencms/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zakonadatelstvo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/z2/. – Дата доступа: 20.05.2023.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Научно-техническая и инновационная деятельность. Правила и порядок проведения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-технологического мониторинга и создания комиссий по его проведению. Общие положения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ТКП 528-2014 (03200) </w:t>
        </w:r>
      </w:hyperlink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[Электронный ресурс]. Режим доступа:  </w:t>
        </w:r>
      </w:hyperlink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http://gknt.gov.by/opencms/opencms/ru/zakonadatelstvo/ z2/. – Дата доступа: 20.05.2023.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Научно-техническая и инновационная деятельность. Правила разработки, согласования и утверждения технических кодексов установившейся практики, государственных стандартов Республики Беларусь и методических рекомендаций в системе Государственного комитета по науке и технологиям Республики Беларусь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ТКП 412-2012 (03200) </w:t>
        </w:r>
      </w:hyperlink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[Электронный ресурс]. Режим доступа:  </w:t>
        </w:r>
      </w:hyperlink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http://gknt.gov.by/opencms/opencms/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zakonadatelstvo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/z2/. – Дата доступа: 20.05.2023.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научно-технического уровня и конкурентоспособности инновационных проектов. Основные положения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СТБ 1078-97 [Электронный ресурс]. Режим </w:t>
        </w:r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доступа:  </w:t>
        </w:r>
      </w:hyperlink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http://gknt.gov.by/opencms/opencms/ru/zakonadatelstvo/ z2/. – Дата доступа: 20.05.2023.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стоимости объектов гражданских прав. Оценка стоимости объектов интеллектуаль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собственности</w:t>
      </w:r>
      <w:proofErr w:type="gram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СТБ 52.5.01-2011 </w:t>
        </w:r>
      </w:hyperlink>
      <w:hyperlink r:id="rId23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[Электронный ресурс]. Режим доступа:  </w:t>
        </w:r>
      </w:hyperlink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http://gknt.gov.by/opencms/opencms/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zakonadatelstvo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/z2/. – Дата доступа: 20.05.2023.</w:t>
      </w:r>
    </w:p>
    <w:p w:rsidR="00343446" w:rsidRPr="00343446" w:rsidRDefault="00343446" w:rsidP="00343446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Патентные 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сследования. Содержание и порядок проведения: </w:t>
      </w:r>
      <w:hyperlink r:id="rId24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СТБ 1180-99</w:t>
        </w:r>
      </w:hyperlink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tgtFrame="_blank" w:history="1">
        <w:r w:rsidRPr="0034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[Электронный ресурс]. Режим доступа:  </w:t>
        </w:r>
      </w:hyperlink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http://gknt.gov.by/opencms/opencms/ 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zakonadatelstvo</w:t>
      </w:r>
      <w:proofErr w:type="spellEnd"/>
      <w:r w:rsidRP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/z2/. – Дата доступа: 20.05.2023.</w:t>
      </w:r>
    </w:p>
    <w:p w:rsidR="000B4CAA" w:rsidRPr="00242F39" w:rsidRDefault="000B4CAA" w:rsidP="00242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AA" w:rsidRPr="00242F39" w:rsidRDefault="000B4CAA" w:rsidP="00242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39" w:rsidRPr="00242F39" w:rsidRDefault="00242F39" w:rsidP="00242F39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242F39">
        <w:rPr>
          <w:rFonts w:ascii="Times New Roman" w:hAnsi="Times New Roman" w:cs="Times New Roman"/>
          <w:sz w:val="28"/>
          <w:szCs w:val="28"/>
        </w:rPr>
        <w:t>Методические рекомендации обсуждены и одобрены на заседании кафедры СГД,</w:t>
      </w:r>
    </w:p>
    <w:p w:rsidR="00242F39" w:rsidRPr="00242F39" w:rsidRDefault="00242F39" w:rsidP="00242F39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242F39">
        <w:rPr>
          <w:rFonts w:ascii="Times New Roman" w:hAnsi="Times New Roman" w:cs="Times New Roman"/>
          <w:sz w:val="28"/>
          <w:szCs w:val="28"/>
        </w:rPr>
        <w:t>протокол №  от                             20       г.</w:t>
      </w:r>
    </w:p>
    <w:p w:rsidR="000B4CAA" w:rsidRPr="00242F39" w:rsidRDefault="000B4CAA" w:rsidP="002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A" w:rsidRPr="00242F39" w:rsidRDefault="000B4CAA" w:rsidP="0024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="0034344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С.А.Кохно</w:t>
      </w:r>
      <w:proofErr w:type="spellEnd"/>
    </w:p>
    <w:p w:rsidR="000E76A8" w:rsidRPr="00242F39" w:rsidRDefault="00840CB6" w:rsidP="0024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76A8" w:rsidRPr="00242F39" w:rsidSect="00B65D0A">
      <w:headerReference w:type="even" r:id="rId26"/>
      <w:headerReference w:type="default" r:id="rId27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B6" w:rsidRDefault="00840CB6">
      <w:pPr>
        <w:spacing w:after="0" w:line="240" w:lineRule="auto"/>
      </w:pPr>
      <w:r>
        <w:separator/>
      </w:r>
    </w:p>
  </w:endnote>
  <w:endnote w:type="continuationSeparator" w:id="0">
    <w:p w:rsidR="00840CB6" w:rsidRDefault="0084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B6" w:rsidRDefault="00840CB6">
      <w:pPr>
        <w:spacing w:after="0" w:line="240" w:lineRule="auto"/>
      </w:pPr>
      <w:r>
        <w:separator/>
      </w:r>
    </w:p>
  </w:footnote>
  <w:footnote w:type="continuationSeparator" w:id="0">
    <w:p w:rsidR="00840CB6" w:rsidRDefault="0084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B40" w:rsidRDefault="00840CB6" w:rsidP="00C83D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68724B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6EF1">
      <w:rPr>
        <w:rStyle w:val="a5"/>
        <w:noProof/>
      </w:rPr>
      <w:t>5</w:t>
    </w:r>
    <w:r>
      <w:rPr>
        <w:rStyle w:val="a5"/>
      </w:rPr>
      <w:fldChar w:fldCharType="end"/>
    </w:r>
  </w:p>
  <w:p w:rsidR="00D82B40" w:rsidRDefault="00840CB6" w:rsidP="00C83D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DDB"/>
    <w:multiLevelType w:val="multilevel"/>
    <w:tmpl w:val="41EC8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7682D"/>
    <w:multiLevelType w:val="hybridMultilevel"/>
    <w:tmpl w:val="B38A3F3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B71E7"/>
    <w:multiLevelType w:val="hybridMultilevel"/>
    <w:tmpl w:val="5092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67F53"/>
    <w:multiLevelType w:val="hybridMultilevel"/>
    <w:tmpl w:val="ABB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C058AF"/>
    <w:multiLevelType w:val="hybridMultilevel"/>
    <w:tmpl w:val="A032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631265"/>
    <w:multiLevelType w:val="hybridMultilevel"/>
    <w:tmpl w:val="EF1486CA"/>
    <w:lvl w:ilvl="0" w:tplc="5C1E4AA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A"/>
    <w:rsid w:val="000B4CAA"/>
    <w:rsid w:val="00242F39"/>
    <w:rsid w:val="00274A93"/>
    <w:rsid w:val="002D3C74"/>
    <w:rsid w:val="00343446"/>
    <w:rsid w:val="003F73E6"/>
    <w:rsid w:val="004E6EF1"/>
    <w:rsid w:val="005E1BE3"/>
    <w:rsid w:val="006745DA"/>
    <w:rsid w:val="0068724B"/>
    <w:rsid w:val="006A6C83"/>
    <w:rsid w:val="00783192"/>
    <w:rsid w:val="007B529C"/>
    <w:rsid w:val="00814BD3"/>
    <w:rsid w:val="00840CB6"/>
    <w:rsid w:val="009D3E4B"/>
    <w:rsid w:val="00B65D0A"/>
    <w:rsid w:val="00CB033B"/>
    <w:rsid w:val="00E726DA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4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nt.gov.by/opencms/opencms/ru/Documents/Zakonadatelstvo_documents/U-20070103-1.rtf" TargetMode="External"/><Relationship Id="rId13" Type="http://schemas.openxmlformats.org/officeDocument/2006/relationships/hyperlink" Target="http://gknt.gov.by/opencms/opencms/ru/Documents/Zakonadatelstvo_documents/PSM-20160421-327.rtf" TargetMode="External"/><Relationship Id="rId18" Type="http://schemas.openxmlformats.org/officeDocument/2006/relationships/hyperlink" Target="http://tnpa.by/KartochkaDoc.php?UrlRN=19362&amp;UrlIDGLOBAL=19362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npa.by/KartochkaDoc.php?UrlRN=19362&amp;UrlIDGLOBAL=193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knt.gov.by/opencms/opencms/ru/Documents/Zakonadatelstvo_documents/PSM-20140526-506.rtf" TargetMode="External"/><Relationship Id="rId17" Type="http://schemas.openxmlformats.org/officeDocument/2006/relationships/hyperlink" Target="http://tnpa.by/KartochkaDoc.php?UrlRN=312405&amp;UrlIDGLOBAL=431429" TargetMode="External"/><Relationship Id="rId25" Type="http://schemas.openxmlformats.org/officeDocument/2006/relationships/hyperlink" Target="http://tnpa.by/KartochkaDoc.php?UrlRN=19362&amp;UrlIDGLOBAL=19362" TargetMode="External"/><Relationship Id="rId2" Type="http://schemas.openxmlformats.org/officeDocument/2006/relationships/styles" Target="styles.xml"/><Relationship Id="rId16" Type="http://schemas.openxmlformats.org/officeDocument/2006/relationships/hyperlink" Target="http://tnpa.by/KartochkaDoc.php?UrlRN=19362&amp;UrlIDGLOBAL=19362" TargetMode="External"/><Relationship Id="rId20" Type="http://schemas.openxmlformats.org/officeDocument/2006/relationships/hyperlink" Target="http://tnpa.by/KartochkaDoc.php?UrlRN=19362&amp;UrlIDGLOBAL=1936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knt.gov.by/opencms/opencms/ru/Documents/Zakonadatelstvo_documents/U-20130520-229.rtf" TargetMode="External"/><Relationship Id="rId24" Type="http://schemas.openxmlformats.org/officeDocument/2006/relationships/hyperlink" Target="http://www.tnpa.by/ViewFileText.php?UrlRid=1541&amp;UrlOnd=%D1%D2%C1%201180-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npa.by/ViewFileText.php?UrlRid=14060&amp;UrlOnd=%C3%CE%D1%D2%2031279-2004" TargetMode="External"/><Relationship Id="rId23" Type="http://schemas.openxmlformats.org/officeDocument/2006/relationships/hyperlink" Target="http://tnpa.by/KartochkaDoc.php?UrlRN=19362&amp;UrlIDGLOBAL=1936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knt.gov.by/opencms/opencms/ru/Documents/Zakonadatelstvo_documents/U-20090309-123.rtf" TargetMode="External"/><Relationship Id="rId19" Type="http://schemas.openxmlformats.org/officeDocument/2006/relationships/hyperlink" Target="http://tnpa.by/KartochkaDoc.php?UrlRN=286656&amp;UrlIDGLOBAL=3844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nt.gov.by/opencms/opencms/ru/Documents/Zakonadatelstvo_documents/Z-20120710-425.rtf" TargetMode="External"/><Relationship Id="rId14" Type="http://schemas.openxmlformats.org/officeDocument/2006/relationships/hyperlink" Target="http://gknt.gov.by/opencms/opencms/ru/Documents/Zakonadatelstvo_documents/PSM-20140116-27.rtf" TargetMode="External"/><Relationship Id="rId22" Type="http://schemas.openxmlformats.org/officeDocument/2006/relationships/hyperlink" Target="http://tnpa.by/ViewFileText.php?UrlRid=119324&amp;UrlOnd=%D1%D2%C1%2052.5.01-2011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3134</Words>
  <Characters>17867</Characters>
  <Application>Microsoft Office Word</Application>
  <DocSecurity>0</DocSecurity>
  <Lines>148</Lines>
  <Paragraphs>41</Paragraphs>
  <ScaleCrop>false</ScaleCrop>
  <Company/>
  <LinksUpToDate>false</LinksUpToDate>
  <CharactersWithSpaces>20960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Л. Автушко</cp:lastModifiedBy>
  <cp:revision>13</cp:revision>
  <dcterms:created xsi:type="dcterms:W3CDTF">2022-09-15T15:43:00Z</dcterms:created>
  <dcterms:modified xsi:type="dcterms:W3CDTF">2024-01-11T08:59:00Z</dcterms:modified>
</cp:coreProperties>
</file>